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211A7" w14:textId="2293415F" w:rsidR="00C13A5E" w:rsidRPr="00187351" w:rsidRDefault="00DB7F07" w:rsidP="00DB7F07">
      <w:pPr>
        <w:jc w:val="center"/>
        <w:rPr>
          <w:b/>
          <w:bCs/>
        </w:rPr>
      </w:pPr>
      <w:r w:rsidRPr="00187351">
        <w:rPr>
          <w:b/>
          <w:bCs/>
        </w:rPr>
        <w:t xml:space="preserve">Apkopojums par paredzētās darbības “Derīgā izrakteņa (dolomīta) ieguve atradnē Iecava II Jelgavas novada, </w:t>
      </w:r>
      <w:proofErr w:type="spellStart"/>
      <w:r w:rsidRPr="00187351">
        <w:rPr>
          <w:b/>
          <w:bCs/>
        </w:rPr>
        <w:t>Salgales</w:t>
      </w:r>
      <w:proofErr w:type="spellEnd"/>
      <w:r w:rsidRPr="00187351">
        <w:rPr>
          <w:b/>
          <w:bCs/>
        </w:rPr>
        <w:t xml:space="preserve"> pagastā” ietekmes uz vidi novērtējuma (IVN) sākotnējās sabiedriskās apspriešanas procesā saņemtajiem atzinumiem/rekomendācijām</w:t>
      </w:r>
    </w:p>
    <w:tbl>
      <w:tblPr>
        <w:tblStyle w:val="TableGrid"/>
        <w:tblW w:w="9493" w:type="dxa"/>
        <w:tblLook w:val="04A0" w:firstRow="1" w:lastRow="0" w:firstColumn="1" w:lastColumn="0" w:noHBand="0" w:noVBand="1"/>
      </w:tblPr>
      <w:tblGrid>
        <w:gridCol w:w="988"/>
        <w:gridCol w:w="3160"/>
        <w:gridCol w:w="2793"/>
        <w:gridCol w:w="2552"/>
      </w:tblGrid>
      <w:tr w:rsidR="00DB7F07" w:rsidRPr="00187351" w14:paraId="29FF1C9C" w14:textId="77777777" w:rsidTr="00DB7F07">
        <w:tc>
          <w:tcPr>
            <w:tcW w:w="988" w:type="dxa"/>
          </w:tcPr>
          <w:p w14:paraId="05667B88" w14:textId="46A29D24" w:rsidR="00DB7F07" w:rsidRPr="00187351" w:rsidRDefault="00DB7F07" w:rsidP="00DB7F07">
            <w:pPr>
              <w:jc w:val="center"/>
              <w:rPr>
                <w:b/>
                <w:bCs/>
              </w:rPr>
            </w:pPr>
            <w:proofErr w:type="spellStart"/>
            <w:r w:rsidRPr="00187351">
              <w:rPr>
                <w:b/>
                <w:bCs/>
              </w:rPr>
              <w:t>Nr.p.k</w:t>
            </w:r>
            <w:proofErr w:type="spellEnd"/>
            <w:r w:rsidRPr="00187351">
              <w:rPr>
                <w:b/>
                <w:bCs/>
              </w:rPr>
              <w:t>.</w:t>
            </w:r>
          </w:p>
        </w:tc>
        <w:tc>
          <w:tcPr>
            <w:tcW w:w="3160" w:type="dxa"/>
          </w:tcPr>
          <w:p w14:paraId="479DCFB9" w14:textId="6FD20631" w:rsidR="00DB7F07" w:rsidRPr="00187351" w:rsidRDefault="00DB7F07" w:rsidP="00DB7F07">
            <w:pPr>
              <w:jc w:val="center"/>
              <w:rPr>
                <w:b/>
                <w:bCs/>
              </w:rPr>
            </w:pPr>
            <w:r w:rsidRPr="00187351">
              <w:rPr>
                <w:b/>
                <w:bCs/>
              </w:rPr>
              <w:t>Paustais viedoklis/rekomendācijas</w:t>
            </w:r>
          </w:p>
        </w:tc>
        <w:tc>
          <w:tcPr>
            <w:tcW w:w="2793" w:type="dxa"/>
          </w:tcPr>
          <w:p w14:paraId="0C36BDD7" w14:textId="6E8A2939" w:rsidR="00DB7F07" w:rsidRPr="00187351" w:rsidRDefault="00DB7F07" w:rsidP="00DB7F07">
            <w:pPr>
              <w:jc w:val="center"/>
              <w:rPr>
                <w:b/>
                <w:bCs/>
              </w:rPr>
            </w:pPr>
            <w:r w:rsidRPr="00187351">
              <w:rPr>
                <w:b/>
                <w:bCs/>
              </w:rPr>
              <w:t>Veiktās darbības</w:t>
            </w:r>
          </w:p>
        </w:tc>
        <w:tc>
          <w:tcPr>
            <w:tcW w:w="2552" w:type="dxa"/>
          </w:tcPr>
          <w:p w14:paraId="2B1D9C3A" w14:textId="2021772B" w:rsidR="00DB7F07" w:rsidRPr="00187351" w:rsidRDefault="00DB7F07" w:rsidP="00DB7F07">
            <w:pPr>
              <w:jc w:val="center"/>
              <w:rPr>
                <w:b/>
                <w:bCs/>
              </w:rPr>
            </w:pPr>
            <w:r w:rsidRPr="00187351">
              <w:rPr>
                <w:b/>
                <w:bCs/>
              </w:rPr>
              <w:t>Komentāri</w:t>
            </w:r>
          </w:p>
        </w:tc>
      </w:tr>
      <w:tr w:rsidR="00DB7F07" w14:paraId="621D2A8D" w14:textId="77777777" w:rsidTr="00FE60F4">
        <w:tc>
          <w:tcPr>
            <w:tcW w:w="9493" w:type="dxa"/>
            <w:gridSpan w:val="4"/>
          </w:tcPr>
          <w:p w14:paraId="2BE09768" w14:textId="64E42E22" w:rsidR="00DB7F07" w:rsidRDefault="00DB7F07" w:rsidP="00DB7F07">
            <w:pPr>
              <w:jc w:val="center"/>
            </w:pPr>
            <w:r>
              <w:t xml:space="preserve">Jelgavas novada pašvaldības  </w:t>
            </w:r>
            <w:r w:rsidRPr="00DB7F07">
              <w:t xml:space="preserve">21.05.2024 </w:t>
            </w:r>
            <w:r>
              <w:t xml:space="preserve">vēstule </w:t>
            </w:r>
            <w:proofErr w:type="spellStart"/>
            <w:r w:rsidRPr="00DB7F07">
              <w:t>Nr.JNP</w:t>
            </w:r>
            <w:proofErr w:type="spellEnd"/>
            <w:r w:rsidRPr="00DB7F07">
              <w:t>/3-18/24/633</w:t>
            </w:r>
            <w:r>
              <w:t xml:space="preserve"> Par zemes vienības ar kadastra apzīmējumu  54780080100 atbilstību teritorijas plānojumam</w:t>
            </w:r>
          </w:p>
        </w:tc>
      </w:tr>
      <w:tr w:rsidR="00DB7F07" w14:paraId="4160F23F" w14:textId="77777777" w:rsidTr="00DB7F07">
        <w:tc>
          <w:tcPr>
            <w:tcW w:w="988" w:type="dxa"/>
          </w:tcPr>
          <w:p w14:paraId="13F63ECA" w14:textId="1DB10B51" w:rsidR="00DB7F07" w:rsidRDefault="009F5B2A" w:rsidP="00DB7F07">
            <w:pPr>
              <w:jc w:val="center"/>
            </w:pPr>
            <w:r>
              <w:t>1.</w:t>
            </w:r>
          </w:p>
        </w:tc>
        <w:tc>
          <w:tcPr>
            <w:tcW w:w="3160" w:type="dxa"/>
          </w:tcPr>
          <w:p w14:paraId="164B1B36" w14:textId="77777777" w:rsidR="00DB7F07" w:rsidRDefault="00DB7F07" w:rsidP="00DB7F07">
            <w:pPr>
              <w:jc w:val="both"/>
            </w:pPr>
            <w:r>
              <w:t xml:space="preserve">Pašvaldība ir izvērtējusi iesniegumā lūgto un savas kompetences ietvaros informē, ka prasības teritorijas izmantošanai un apbūvei zemes vienībā ar kadastra apzīmējumu 54780080100, “Auniņi”, </w:t>
            </w:r>
            <w:proofErr w:type="spellStart"/>
            <w:r>
              <w:t>Salgales</w:t>
            </w:r>
            <w:proofErr w:type="spellEnd"/>
            <w:r>
              <w:t xml:space="preserve"> pagasts, Jelgavas nov., nosaka spēkā esošais Ozolnieku novada teritorijas plānojums 2020, kas ietver teritorijas plānojuma grafisko daļu un saistošos noteikumus Nr.5/2020 “Ozolnieku novada teritorijas plānojuma grafiskā daļa un teritorijas izmantošanas un apbūves noteikumi” (apstiprināti ar Ozolnieku novada domes 2020.gada 12.marta lēmumu Nr.3 (protokols Nr.5) (turpmāk – Teritorijas plānojums).</w:t>
            </w:r>
          </w:p>
          <w:p w14:paraId="68D37D82" w14:textId="5A5FA867" w:rsidR="00DB7F07" w:rsidRDefault="00DB7F07" w:rsidP="00DB7F07">
            <w:pPr>
              <w:jc w:val="both"/>
            </w:pPr>
            <w:r>
              <w:t xml:space="preserve">Atbilstoši spēkā esošajam Teritorijas plānojumam zemes vienība ar kadastra apzīmējumu 54780080100 daļēji atrodas Lauksaimniecības teritorijā (L) un daļēji Mežu teritorijā (M) (skat. 1.att.). Lauksaimniecības teritorijā (L) un Mežu teritorijā (M) kā viens no </w:t>
            </w:r>
            <w:proofErr w:type="spellStart"/>
            <w:r>
              <w:t>papildizmantošanas</w:t>
            </w:r>
            <w:proofErr w:type="spellEnd"/>
            <w:r>
              <w:t xml:space="preserve"> veidiem ir Derīgo izrakteņu ieguve (13004). Teritorijas plānojumā zemes vienībai ir noteikta sanitārā aizsargjosla ap kapsētu.</w:t>
            </w:r>
          </w:p>
        </w:tc>
        <w:tc>
          <w:tcPr>
            <w:tcW w:w="2793" w:type="dxa"/>
          </w:tcPr>
          <w:p w14:paraId="1482D1ED" w14:textId="007D32C9" w:rsidR="00DB7F07" w:rsidRDefault="00DB7F07" w:rsidP="00DB7F07">
            <w:pPr>
              <w:jc w:val="center"/>
            </w:pPr>
            <w:r>
              <w:t>Ņemts vērā izstrādājot IVN Ziņojumu</w:t>
            </w:r>
          </w:p>
        </w:tc>
        <w:tc>
          <w:tcPr>
            <w:tcW w:w="2552" w:type="dxa"/>
          </w:tcPr>
          <w:p w14:paraId="79BC2193" w14:textId="77777777" w:rsidR="00DB7F07" w:rsidRDefault="00DB7F07" w:rsidP="00DB7F07">
            <w:pPr>
              <w:jc w:val="center"/>
            </w:pPr>
          </w:p>
        </w:tc>
      </w:tr>
      <w:tr w:rsidR="00DB7F07" w14:paraId="634CB329" w14:textId="77777777" w:rsidTr="00DB7F07">
        <w:tc>
          <w:tcPr>
            <w:tcW w:w="988" w:type="dxa"/>
          </w:tcPr>
          <w:p w14:paraId="3F3A3FD1" w14:textId="6121C229" w:rsidR="00DB7F07" w:rsidRDefault="009F5B2A" w:rsidP="00DB7F07">
            <w:pPr>
              <w:jc w:val="center"/>
            </w:pPr>
            <w:r>
              <w:t>2.</w:t>
            </w:r>
          </w:p>
        </w:tc>
        <w:tc>
          <w:tcPr>
            <w:tcW w:w="3160" w:type="dxa"/>
          </w:tcPr>
          <w:p w14:paraId="38AF021A" w14:textId="14F7EBAC" w:rsidR="00DB7F07" w:rsidRDefault="00DB7F07" w:rsidP="00DB7F07">
            <w:pPr>
              <w:jc w:val="both"/>
            </w:pPr>
            <w:r w:rsidRPr="00DB7F07">
              <w:t xml:space="preserve">Informējam, ka veicot jebkāda veida saimniecisko darbību, ir jāievēro visu veidu aizsargjoslas un zemes vienības izmantošanas aprobežojumi, kas ir attēloti Teritorijas plānojumā, un arī tie, kas mēroga noteiktības dēļ, nav attēloti teritorijas plānojumā, bet </w:t>
            </w:r>
            <w:r w:rsidRPr="00DB7F07">
              <w:lastRenderedPageBreak/>
              <w:t>ko nosaka normatīvo aktu prasības, t.sk. Aizsargjoslu likums. Tāpat ir jāievēro visi apgrūtinājumi, kas norādīti zemes vienības robežu vai apgrūtinājumu plānā.</w:t>
            </w:r>
          </w:p>
        </w:tc>
        <w:tc>
          <w:tcPr>
            <w:tcW w:w="2793" w:type="dxa"/>
          </w:tcPr>
          <w:p w14:paraId="2CF07CBC" w14:textId="188F2651" w:rsidR="00DB7F07" w:rsidRDefault="00DB7F07" w:rsidP="00DB7F07">
            <w:pPr>
              <w:jc w:val="center"/>
            </w:pPr>
            <w:r>
              <w:lastRenderedPageBreak/>
              <w:t>Ņemts vērā izstrādājot IVN Ziņojumu</w:t>
            </w:r>
          </w:p>
        </w:tc>
        <w:tc>
          <w:tcPr>
            <w:tcW w:w="2552" w:type="dxa"/>
          </w:tcPr>
          <w:p w14:paraId="20EDF13F" w14:textId="77777777" w:rsidR="00DB7F07" w:rsidRDefault="00DB7F07" w:rsidP="00DB7F07">
            <w:pPr>
              <w:jc w:val="center"/>
            </w:pPr>
          </w:p>
        </w:tc>
      </w:tr>
      <w:tr w:rsidR="00DB7F07" w14:paraId="1168B9DC" w14:textId="77777777" w:rsidTr="00673F12">
        <w:tc>
          <w:tcPr>
            <w:tcW w:w="9493" w:type="dxa"/>
            <w:gridSpan w:val="4"/>
          </w:tcPr>
          <w:p w14:paraId="3E81B77B" w14:textId="7CEEF6EF" w:rsidR="00DB7F07" w:rsidRDefault="00DB7F07" w:rsidP="00DB7F07">
            <w:pPr>
              <w:jc w:val="center"/>
            </w:pPr>
            <w:r>
              <w:t xml:space="preserve">Valsts vides dienesta </w:t>
            </w:r>
            <w:r w:rsidRPr="00DB7F07">
              <w:t>16.05.2024.</w:t>
            </w:r>
            <w:r>
              <w:t xml:space="preserve"> vēstule </w:t>
            </w:r>
            <w:r w:rsidRPr="00DB7F07">
              <w:t>Nr.2.4/AP/5412/2024</w:t>
            </w:r>
            <w:r>
              <w:t xml:space="preserve"> </w:t>
            </w:r>
            <w:r w:rsidRPr="00DB7F07">
              <w:t>Par sākotnējo sabiedrisko apspriešanu</w:t>
            </w:r>
          </w:p>
        </w:tc>
      </w:tr>
      <w:tr w:rsidR="00DB7F07" w14:paraId="5A7BA921" w14:textId="77777777" w:rsidTr="00DB7F07">
        <w:tc>
          <w:tcPr>
            <w:tcW w:w="988" w:type="dxa"/>
          </w:tcPr>
          <w:p w14:paraId="79AEEE08" w14:textId="41516FDB" w:rsidR="00DB7F07" w:rsidRDefault="00DB7F07" w:rsidP="00DB7F07">
            <w:pPr>
              <w:jc w:val="center"/>
            </w:pPr>
            <w:r>
              <w:t>1.</w:t>
            </w:r>
          </w:p>
        </w:tc>
        <w:tc>
          <w:tcPr>
            <w:tcW w:w="3160" w:type="dxa"/>
          </w:tcPr>
          <w:p w14:paraId="46EEA330" w14:textId="457D2B10" w:rsidR="00DB7F07" w:rsidRDefault="00DB7F07" w:rsidP="00DB7F07">
            <w:pPr>
              <w:jc w:val="both"/>
            </w:pPr>
            <w:r w:rsidRPr="00DB7F07">
              <w:t>Dienests informē, ka saskaņā ar likuma “Par ietekmes uz vidi novērtējumu” (turpmāk – IVN likums) 6. panta pirmo daļu IVN šajā likumā noteiktajā kārtībā koordinē un pārrauga Vides pārraudzības valsts birojs (turpmāk — kompetentā institūcija), savukārt atbilstoši 6.1 panta trešajai daļai Kompetentā institūcija izsniedz ietekmes novērtējuma programmu (turpmāk — programma) 30 dienu laikā pēc pieprasījuma saņemšanas. Ja kompetentajai institūcijai nepieciešama informācija no ierosinātāja, tā pagarina programmas izsniegšanas termiņu par laikposmu, kādā ierosinātājs sniedzis informāciju. Ņemot vērā minēto, prasības, kādas iekļaujamas programmā, un programmu izsniedz Vides pārraudzības valsts birojs.</w:t>
            </w:r>
          </w:p>
        </w:tc>
        <w:tc>
          <w:tcPr>
            <w:tcW w:w="2793" w:type="dxa"/>
          </w:tcPr>
          <w:p w14:paraId="45F308E2" w14:textId="77777777" w:rsidR="00DB7F07" w:rsidRDefault="00DB7F07" w:rsidP="00DB7F07">
            <w:pPr>
              <w:jc w:val="center"/>
            </w:pPr>
            <w:r>
              <w:t xml:space="preserve">Ir saņemta Vides pārraudzības valsts biroja izsniegta </w:t>
            </w:r>
            <w:r w:rsidR="009F5B2A" w:rsidRPr="009F5B2A">
              <w:t>Programm</w:t>
            </w:r>
            <w:r w:rsidR="009F5B2A">
              <w:t>a</w:t>
            </w:r>
            <w:r w:rsidR="009F5B2A" w:rsidRPr="009F5B2A">
              <w:t xml:space="preserve"> Nr. 5 – 03/27/2024 ietekmes uz vidi novērtējumam derīgo izrakteņu (dolomīta) ieguvei dolomīta atradnē “Iecava II”, </w:t>
            </w:r>
            <w:proofErr w:type="spellStart"/>
            <w:r w:rsidR="009F5B2A" w:rsidRPr="009F5B2A">
              <w:t>Salgales</w:t>
            </w:r>
            <w:proofErr w:type="spellEnd"/>
            <w:r w:rsidR="009F5B2A" w:rsidRPr="009F5B2A">
              <w:t xml:space="preserve"> pagastā, Jelgavas novadā</w:t>
            </w:r>
          </w:p>
          <w:p w14:paraId="4BF7530F" w14:textId="47887017" w:rsidR="009F5B2A" w:rsidRDefault="009F5B2A" w:rsidP="00DB7F07">
            <w:pPr>
              <w:jc w:val="center"/>
            </w:pPr>
            <w:r>
              <w:t>IVN Ziņojuma izstrādē ievērotas normatīvo aktu un Programmā ietvertās prasības.</w:t>
            </w:r>
          </w:p>
        </w:tc>
        <w:tc>
          <w:tcPr>
            <w:tcW w:w="2552" w:type="dxa"/>
          </w:tcPr>
          <w:p w14:paraId="6A3A527E" w14:textId="77777777" w:rsidR="00DB7F07" w:rsidRDefault="00DB7F07" w:rsidP="00DB7F07">
            <w:pPr>
              <w:jc w:val="center"/>
            </w:pPr>
          </w:p>
        </w:tc>
      </w:tr>
      <w:tr w:rsidR="00DB7F07" w14:paraId="191A3233" w14:textId="77777777" w:rsidTr="00DB7F07">
        <w:tc>
          <w:tcPr>
            <w:tcW w:w="988" w:type="dxa"/>
          </w:tcPr>
          <w:p w14:paraId="52439844" w14:textId="24017F8E" w:rsidR="00DB7F07" w:rsidRDefault="009F5B2A" w:rsidP="00DB7F07">
            <w:pPr>
              <w:jc w:val="center"/>
            </w:pPr>
            <w:r>
              <w:t>2.</w:t>
            </w:r>
          </w:p>
        </w:tc>
        <w:tc>
          <w:tcPr>
            <w:tcW w:w="3160" w:type="dxa"/>
          </w:tcPr>
          <w:p w14:paraId="063554FA" w14:textId="36A3C07B" w:rsidR="00DB7F07" w:rsidRDefault="009F5B2A" w:rsidP="009F5B2A">
            <w:pPr>
              <w:jc w:val="both"/>
            </w:pPr>
            <w:r w:rsidRPr="009F5B2A">
              <w:t>Vienlaikus norādām, ka saskaņā ar MK 13.01.2015. noteikumu Nr. 18 “Kārtība, kādā novērtē paredzētās darbības ietekmi uz vidi un akceptē paredzēto darbību” 44. punktu Dienests piedalās tikai sabiedriskās apspriešanas sanāksmē, nevis sākotnējā sabiedriskā apspriešanā.</w:t>
            </w:r>
          </w:p>
        </w:tc>
        <w:tc>
          <w:tcPr>
            <w:tcW w:w="2793" w:type="dxa"/>
          </w:tcPr>
          <w:p w14:paraId="4709C05B" w14:textId="77CE9A66" w:rsidR="00DB7F07" w:rsidRDefault="00187351" w:rsidP="00DB7F07">
            <w:pPr>
              <w:jc w:val="center"/>
            </w:pPr>
            <w:r>
              <w:t>Ņemts vērā</w:t>
            </w:r>
          </w:p>
        </w:tc>
        <w:tc>
          <w:tcPr>
            <w:tcW w:w="2552" w:type="dxa"/>
          </w:tcPr>
          <w:p w14:paraId="5C252C1D" w14:textId="4502A047" w:rsidR="00DB7F07" w:rsidRDefault="00187351" w:rsidP="00DB7F07">
            <w:pPr>
              <w:jc w:val="center"/>
            </w:pPr>
            <w:r w:rsidRPr="00187351">
              <w:t>Valsts vides dienests tiks informēts par IVN Ziņojuma sabiedrisko apspriešanu normatīvajos aktos noteiktajā kārtībā.</w:t>
            </w:r>
          </w:p>
        </w:tc>
      </w:tr>
      <w:tr w:rsidR="009F5B2A" w14:paraId="2646B81C" w14:textId="77777777" w:rsidTr="00E330BC">
        <w:tc>
          <w:tcPr>
            <w:tcW w:w="9493" w:type="dxa"/>
            <w:gridSpan w:val="4"/>
          </w:tcPr>
          <w:p w14:paraId="50376308" w14:textId="77777777" w:rsidR="009F5B2A" w:rsidRDefault="009F5B2A" w:rsidP="009F5B2A">
            <w:pPr>
              <w:jc w:val="center"/>
            </w:pPr>
            <w:r>
              <w:t xml:space="preserve">Veselības inspekcijas </w:t>
            </w:r>
            <w:r w:rsidRPr="009F5B2A">
              <w:t>24.05.2024</w:t>
            </w:r>
            <w:r>
              <w:t xml:space="preserve">. Vēstule </w:t>
            </w:r>
            <w:r w:rsidRPr="009F5B2A">
              <w:t>Nr.</w:t>
            </w:r>
            <w:r>
              <w:t xml:space="preserve"> </w:t>
            </w:r>
            <w:r w:rsidRPr="009F5B2A">
              <w:t>2.4.9.-1./277</w:t>
            </w:r>
            <w:r>
              <w:t xml:space="preserve"> Par ietekmes uz vidi novērtējuma paziņojuma</w:t>
            </w:r>
          </w:p>
          <w:p w14:paraId="7567B2E3" w14:textId="77DF1965" w:rsidR="009F5B2A" w:rsidRDefault="009F5B2A" w:rsidP="009F5B2A">
            <w:pPr>
              <w:jc w:val="center"/>
            </w:pPr>
            <w:r>
              <w:t>sākotnējo apspriešanu</w:t>
            </w:r>
          </w:p>
        </w:tc>
      </w:tr>
      <w:tr w:rsidR="00DB7F07" w14:paraId="203B8801" w14:textId="77777777" w:rsidTr="00DB7F07">
        <w:tc>
          <w:tcPr>
            <w:tcW w:w="988" w:type="dxa"/>
          </w:tcPr>
          <w:p w14:paraId="04B341BA" w14:textId="77777777" w:rsidR="00DB7F07" w:rsidRDefault="00DB7F07" w:rsidP="00DB7F07">
            <w:pPr>
              <w:jc w:val="center"/>
            </w:pPr>
          </w:p>
        </w:tc>
        <w:tc>
          <w:tcPr>
            <w:tcW w:w="3160" w:type="dxa"/>
          </w:tcPr>
          <w:p w14:paraId="6BED1CF0" w14:textId="578732F3" w:rsidR="00DB7F07" w:rsidRDefault="009F5B2A" w:rsidP="009F5B2A">
            <w:pPr>
              <w:jc w:val="both"/>
            </w:pPr>
            <w:r w:rsidRPr="009F5B2A">
              <w:t>Inspekcija rekomendē prognozēt ietekmi uz pazemes ūdens resursiem atradnes tuvumā esošajās viensētās un pazemes ūdensobjektu ūdens kvalitāti.</w:t>
            </w:r>
          </w:p>
        </w:tc>
        <w:tc>
          <w:tcPr>
            <w:tcW w:w="2793" w:type="dxa"/>
          </w:tcPr>
          <w:p w14:paraId="027C0F03" w14:textId="57DA5C90" w:rsidR="00DB7F07" w:rsidRDefault="009F5B2A" w:rsidP="00DB7F07">
            <w:pPr>
              <w:jc w:val="center"/>
            </w:pPr>
            <w:r>
              <w:t>Ņemts vērā izstrādājot IVN Ziņojumu</w:t>
            </w:r>
          </w:p>
        </w:tc>
        <w:tc>
          <w:tcPr>
            <w:tcW w:w="2552" w:type="dxa"/>
          </w:tcPr>
          <w:p w14:paraId="6C58A840" w14:textId="77777777" w:rsidR="00DB7F07" w:rsidRDefault="00DB7F07" w:rsidP="00DB7F07">
            <w:pPr>
              <w:jc w:val="center"/>
            </w:pPr>
          </w:p>
        </w:tc>
      </w:tr>
      <w:tr w:rsidR="00DB7F07" w14:paraId="46FB1354" w14:textId="77777777" w:rsidTr="00DB7F07">
        <w:tc>
          <w:tcPr>
            <w:tcW w:w="988" w:type="dxa"/>
          </w:tcPr>
          <w:p w14:paraId="26DD565F" w14:textId="77777777" w:rsidR="00DB7F07" w:rsidRDefault="00DB7F07" w:rsidP="00DB7F07">
            <w:pPr>
              <w:jc w:val="center"/>
            </w:pPr>
          </w:p>
        </w:tc>
        <w:tc>
          <w:tcPr>
            <w:tcW w:w="3160" w:type="dxa"/>
          </w:tcPr>
          <w:p w14:paraId="14474358" w14:textId="76B4ACF5" w:rsidR="00DB7F07" w:rsidRDefault="009F5B2A" w:rsidP="009F5B2A">
            <w:pPr>
              <w:jc w:val="both"/>
            </w:pPr>
            <w:r w:rsidRPr="009F5B2A">
              <w:t>Pamatojoties uz augstāk minēto, Veselības inspekcija neiebilst izstrādātās IVN  Programmas risinājumiem.</w:t>
            </w:r>
          </w:p>
        </w:tc>
        <w:tc>
          <w:tcPr>
            <w:tcW w:w="2793" w:type="dxa"/>
          </w:tcPr>
          <w:p w14:paraId="0CEF4FBA" w14:textId="324CA001" w:rsidR="00DB7F07" w:rsidRDefault="009F5B2A" w:rsidP="00DB7F07">
            <w:pPr>
              <w:jc w:val="center"/>
            </w:pPr>
            <w:r>
              <w:t>IVN Ziņojums izstrādāts saskaņā ar Programmas prasībām</w:t>
            </w:r>
          </w:p>
        </w:tc>
        <w:tc>
          <w:tcPr>
            <w:tcW w:w="2552" w:type="dxa"/>
          </w:tcPr>
          <w:p w14:paraId="53D2545B" w14:textId="77777777" w:rsidR="00DB7F07" w:rsidRDefault="00DB7F07" w:rsidP="00DB7F07">
            <w:pPr>
              <w:jc w:val="center"/>
            </w:pPr>
          </w:p>
        </w:tc>
      </w:tr>
      <w:tr w:rsidR="009F5B2A" w14:paraId="7CFD13EA" w14:textId="77777777" w:rsidTr="006B7C16">
        <w:tc>
          <w:tcPr>
            <w:tcW w:w="9493" w:type="dxa"/>
            <w:gridSpan w:val="4"/>
          </w:tcPr>
          <w:p w14:paraId="0EEB8940" w14:textId="67D3E5F6" w:rsidR="009F5B2A" w:rsidRDefault="009F5B2A" w:rsidP="009F5B2A">
            <w:pPr>
              <w:jc w:val="center"/>
            </w:pPr>
            <w:r>
              <w:t xml:space="preserve">Dabas aizsardzības pārvaldes </w:t>
            </w:r>
            <w:r w:rsidRPr="009F5B2A">
              <w:t xml:space="preserve">17.06.2024. </w:t>
            </w:r>
            <w:r>
              <w:t xml:space="preserve">vēstule </w:t>
            </w:r>
            <w:r w:rsidRPr="009F5B2A">
              <w:t>Nr.4.9/3746/2024-N</w:t>
            </w:r>
            <w:r>
              <w:t xml:space="preserve"> Par sākotnējo sabiedrisko apspriešanu  derīgo izrakteņu ieguvei atradnē “Iecava II”  </w:t>
            </w:r>
            <w:proofErr w:type="spellStart"/>
            <w:r>
              <w:t>Salgales</w:t>
            </w:r>
            <w:proofErr w:type="spellEnd"/>
            <w:r>
              <w:t xml:space="preserve"> pagastā, Jelgavas novadā</w:t>
            </w:r>
          </w:p>
        </w:tc>
      </w:tr>
      <w:tr w:rsidR="00DB7F07" w14:paraId="6A57A464" w14:textId="77777777" w:rsidTr="00DB7F07">
        <w:tc>
          <w:tcPr>
            <w:tcW w:w="988" w:type="dxa"/>
          </w:tcPr>
          <w:p w14:paraId="13F1EF04" w14:textId="77777777" w:rsidR="00DB7F07" w:rsidRDefault="00DB7F07" w:rsidP="00DB7F07">
            <w:pPr>
              <w:jc w:val="center"/>
            </w:pPr>
          </w:p>
        </w:tc>
        <w:tc>
          <w:tcPr>
            <w:tcW w:w="3160" w:type="dxa"/>
          </w:tcPr>
          <w:p w14:paraId="436B2938" w14:textId="6E87C57B" w:rsidR="00DB7F07" w:rsidRDefault="009F5B2A" w:rsidP="009F5B2A">
            <w:pPr>
              <w:jc w:val="both"/>
            </w:pPr>
            <w:r w:rsidRPr="009F5B2A">
              <w:t xml:space="preserve">Atbilstoši DDPS Ozols pieejamiem datiem, Paredzētās darbības teritorijā ir reģistrēts Eiropas Savienības (turpmāk – ES) nozīmes prioritārais meža biotops Veci jaukti platlapju meži 9020*, kura dabas aizsardzības stāvoklis Latvijā tiek vērtēts kā “nelabvēlīgs-slikts” . Ap Paredzētās darbības teritoriju, 500 m </w:t>
            </w:r>
            <w:proofErr w:type="spellStart"/>
            <w:r w:rsidRPr="009F5B2A">
              <w:t>radiusā</w:t>
            </w:r>
            <w:proofErr w:type="spellEnd"/>
            <w:r w:rsidRPr="009F5B2A">
              <w:t xml:space="preserve"> konstatēti ES nozīmes prioritārie meža biotopi Veci vai dabiski </w:t>
            </w:r>
            <w:proofErr w:type="spellStart"/>
            <w:r w:rsidRPr="009F5B2A">
              <w:t>boreāli</w:t>
            </w:r>
            <w:proofErr w:type="spellEnd"/>
            <w:r w:rsidRPr="009F5B2A">
              <w:t xml:space="preserve"> meži 9010* (stāvoklis valstī nelabvēlīgs-slikts), Veci jaukti platlapju meži 9020*, Staignāju meži 9080* (stāvoklis valstī nelabvēlīgs-slikts), Aluviāli meži (aluviāli krastmalu un palieņu meži) 91E0* (stāvoklis valstī nelabvēlīgs‐nepietiekams) un ES nozīmes meža biotopi Lakstaugiem bagāti egļu meži 9050 (stāvoklis valstī nelabvēlīgs-slikts), Ozolu meži (ozolu, liepu un skābaržu meži) 9160 (stāvoklis valstī nelabvēlīgs‐nepietiekams). Minētie ES biotopi vai biotopu mitrie varianti ir atkarīgi no hidroloģisko apstākļu izmaiņām.</w:t>
            </w:r>
          </w:p>
        </w:tc>
        <w:tc>
          <w:tcPr>
            <w:tcW w:w="2793" w:type="dxa"/>
          </w:tcPr>
          <w:p w14:paraId="01192F1A" w14:textId="2FF078DE" w:rsidR="00DB7F07" w:rsidRDefault="00E5050C" w:rsidP="00DB7F07">
            <w:pPr>
              <w:jc w:val="center"/>
            </w:pPr>
            <w:r>
              <w:t>Ņemts vērā izstrādājot IVN Ziņojumu</w:t>
            </w:r>
          </w:p>
        </w:tc>
        <w:tc>
          <w:tcPr>
            <w:tcW w:w="2552" w:type="dxa"/>
          </w:tcPr>
          <w:p w14:paraId="3E309F2F" w14:textId="77777777" w:rsidR="00DB7F07" w:rsidRDefault="00DB7F07" w:rsidP="00DB7F07">
            <w:pPr>
              <w:jc w:val="center"/>
            </w:pPr>
          </w:p>
        </w:tc>
      </w:tr>
      <w:tr w:rsidR="00DB7F07" w14:paraId="61570EA8" w14:textId="77777777" w:rsidTr="00DB7F07">
        <w:tc>
          <w:tcPr>
            <w:tcW w:w="988" w:type="dxa"/>
          </w:tcPr>
          <w:p w14:paraId="6638AF7D" w14:textId="77777777" w:rsidR="00DB7F07" w:rsidRDefault="00DB7F07" w:rsidP="00DB7F07">
            <w:pPr>
              <w:jc w:val="center"/>
            </w:pPr>
          </w:p>
        </w:tc>
        <w:tc>
          <w:tcPr>
            <w:tcW w:w="3160" w:type="dxa"/>
          </w:tcPr>
          <w:p w14:paraId="27B14386" w14:textId="08B7E603" w:rsidR="00DB7F07" w:rsidRDefault="009F5B2A" w:rsidP="009F5B2A">
            <w:pPr>
              <w:jc w:val="both"/>
            </w:pPr>
            <w:r w:rsidRPr="009F5B2A">
              <w:t>Ietekmes uz vidi novērtējuma ietvaros izvērtējams, kā Paredzētā darbība ietekmēs ES nozīmes biotopu kvalitāti un sastopamību lokālā un reģionālā mērogā. Norādāms, ka Paredzētā darbība ietver gan tiešu biotopu iznīcināšanu, veicot atmežošanu un derīgo izrakteņu ieguvi, gan netiešu ietekmi, kas saistīta ar hidroloģiskā režīma pārmaiņu ietekmi uz biotopiem un īpaši aizsargājamām sugām, kas saistītas ar mitriem/slapjiem apstākļiem.</w:t>
            </w:r>
          </w:p>
        </w:tc>
        <w:tc>
          <w:tcPr>
            <w:tcW w:w="2793" w:type="dxa"/>
          </w:tcPr>
          <w:p w14:paraId="567841D9" w14:textId="141AEE15" w:rsidR="00DB7F07" w:rsidRDefault="00E5050C" w:rsidP="00DB7F07">
            <w:pPr>
              <w:jc w:val="center"/>
            </w:pPr>
            <w:r>
              <w:t>Ņemts vērā izstrādājot IVN Ziņojumu</w:t>
            </w:r>
          </w:p>
        </w:tc>
        <w:tc>
          <w:tcPr>
            <w:tcW w:w="2552" w:type="dxa"/>
          </w:tcPr>
          <w:p w14:paraId="5E82F753" w14:textId="77777777" w:rsidR="00DB7F07" w:rsidRDefault="00DB7F07" w:rsidP="00DB7F07">
            <w:pPr>
              <w:jc w:val="center"/>
            </w:pPr>
          </w:p>
        </w:tc>
      </w:tr>
      <w:tr w:rsidR="00DB7F07" w14:paraId="40C1D316" w14:textId="77777777" w:rsidTr="00DB7F07">
        <w:tc>
          <w:tcPr>
            <w:tcW w:w="988" w:type="dxa"/>
          </w:tcPr>
          <w:p w14:paraId="63DA2543" w14:textId="77777777" w:rsidR="00DB7F07" w:rsidRDefault="00DB7F07" w:rsidP="00DB7F07">
            <w:pPr>
              <w:jc w:val="center"/>
            </w:pPr>
          </w:p>
        </w:tc>
        <w:tc>
          <w:tcPr>
            <w:tcW w:w="3160" w:type="dxa"/>
          </w:tcPr>
          <w:p w14:paraId="42D45A33" w14:textId="68D0B97E" w:rsidR="00DB7F07" w:rsidRDefault="009F5B2A" w:rsidP="009F5B2A">
            <w:pPr>
              <w:jc w:val="both"/>
            </w:pPr>
            <w:r w:rsidRPr="009F5B2A">
              <w:t xml:space="preserve">Informatīvajā materiālā norādīts, ka: “Depresijas piltuves izmēri un ietekmes areāls nebūs liels, tas tiks noteikts matemātiskās modelēšanas ceļā, ņemot vērā līdzšinējo monitoringa novērojumu rezultātus. Visticamāk tuvējo māju iedzīvotāju akās vai urbumos ūdens līmenis var pazemināsies līdz 3m no zemes virsas </w:t>
            </w:r>
            <w:proofErr w:type="spellStart"/>
            <w:r w:rsidRPr="009F5B2A">
              <w:t>mazūdens</w:t>
            </w:r>
            <w:proofErr w:type="spellEnd"/>
            <w:r w:rsidRPr="009F5B2A">
              <w:t xml:space="preserve"> periodā salīdzinot ar pavasara palu periodu.” Norādāms, ka ES nozīmes prioritārais meža biotops Staignāju meži 9080* ir viens no ES nozīmes meža biotopiem, kurš ir pilnībā atkarīgs no gruntsūdeņiem . Pastāvīgi pazemināts gruntsūdeņu līmenis (prognozēts līdz 3 m) izjauks biotopa pastāvēšanai nepieciešamos dabiskos procesus, radīs izmaiņas veģetācijā, kā rezultātā ir paredzama minētā biotopa degradēšanās. Līdzīga situācija prognozējama arī pārejos konstatētajos ES nozīmes meža biotopos. Uz to norāda arī sertificētā sugu un biotopu eksperte Egita </w:t>
            </w:r>
            <w:proofErr w:type="spellStart"/>
            <w:r w:rsidRPr="009F5B2A">
              <w:t>Grolle</w:t>
            </w:r>
            <w:proofErr w:type="spellEnd"/>
            <w:r w:rsidRPr="009F5B2A">
              <w:t xml:space="preserve"> (turpmāk – Eksperte), kura šī gada 18.maijā ir sagatavojusi atzinumu par Paredzēto darbību un savā atzinumā norāda, ka: “Hidroloģiskā režīma izmaiņas biotopu platībā var veidot nelielu līdz vērā ņemu nelabvēlīgu ietekmi, veicinot biotopu kvalitātes pasliktināšanos, kas saistīta, piemēram, ar struktūras izmaiņām, attīstoties blīvākam krūmu stāvam, vai sugu skaita samazināšanos, izplatoties ekspansīvām un </w:t>
            </w:r>
            <w:proofErr w:type="spellStart"/>
            <w:r w:rsidRPr="009F5B2A">
              <w:t>invazīvām</w:t>
            </w:r>
            <w:proofErr w:type="spellEnd"/>
            <w:r w:rsidRPr="009F5B2A">
              <w:t xml:space="preserve"> sugām.”</w:t>
            </w:r>
          </w:p>
        </w:tc>
        <w:tc>
          <w:tcPr>
            <w:tcW w:w="2793" w:type="dxa"/>
          </w:tcPr>
          <w:p w14:paraId="67952EB7" w14:textId="0D421BDF" w:rsidR="00DB7F07" w:rsidRDefault="00E5050C" w:rsidP="00DB7F07">
            <w:pPr>
              <w:jc w:val="center"/>
            </w:pPr>
            <w:r>
              <w:t>Ņemts vērā izstrādājot IVN Ziņojumu</w:t>
            </w:r>
          </w:p>
        </w:tc>
        <w:tc>
          <w:tcPr>
            <w:tcW w:w="2552" w:type="dxa"/>
          </w:tcPr>
          <w:p w14:paraId="612E1AAA" w14:textId="6D7009B1" w:rsidR="00DB7F07" w:rsidRDefault="00E5050C" w:rsidP="00DB7F07">
            <w:pPr>
              <w:jc w:val="center"/>
            </w:pPr>
            <w:r>
              <w:t>Vē</w:t>
            </w:r>
            <w:r w:rsidR="00187351">
              <w:t>rš</w:t>
            </w:r>
            <w:r>
              <w:t xml:space="preserve">am DAP uzmanību uz to, ka minētā depresijas piltuve tiek prognozēta tiešā karjera tuvumā </w:t>
            </w:r>
            <w:proofErr w:type="spellStart"/>
            <w:r>
              <w:t>Stipinu</w:t>
            </w:r>
            <w:proofErr w:type="spellEnd"/>
            <w:r>
              <w:t xml:space="preserve"> ūdens horizontā. Ņemot vērā to, ka </w:t>
            </w:r>
            <w:proofErr w:type="spellStart"/>
            <w:r>
              <w:t>Stipinu</w:t>
            </w:r>
            <w:proofErr w:type="spellEnd"/>
            <w:r>
              <w:t xml:space="preserve"> ūdens horizonts no Kvartāra gruntsūdens horizonta ir izolēts ar kvartāra nogulumu pamatnē iegulošajiem vāji ūdeni caurlaidīgajiem morēnas nogulumiem, kas veido </w:t>
            </w:r>
            <w:proofErr w:type="spellStart"/>
            <w:r>
              <w:t>sprostslāni</w:t>
            </w:r>
            <w:proofErr w:type="spellEnd"/>
            <w:r>
              <w:t xml:space="preserve">, gruntsūdens horizonta līmeņa režīms var tikt ietekmēts tikai tiešā karjera tuvumā. Lai novērstu ietekmi, pa paredzētās darbības teritorijas perimetru tiks izveidots valnis no vāji caurlaidīgajiem </w:t>
            </w:r>
            <w:proofErr w:type="spellStart"/>
            <w:r>
              <w:t>segkārtas</w:t>
            </w:r>
            <w:proofErr w:type="spellEnd"/>
            <w:r w:rsidR="006658C3">
              <w:t xml:space="preserve"> iežiem </w:t>
            </w:r>
            <w:r>
              <w:t xml:space="preserve"> un derīgā materiāla apstrādes </w:t>
            </w:r>
            <w:r w:rsidR="006658C3">
              <w:t>atkritumiem, tādējādi novēršot gruntsūdens noteci karjerā.</w:t>
            </w:r>
          </w:p>
        </w:tc>
      </w:tr>
      <w:tr w:rsidR="00DB7F07" w14:paraId="2CC14ACF" w14:textId="77777777" w:rsidTr="00DB7F07">
        <w:tc>
          <w:tcPr>
            <w:tcW w:w="988" w:type="dxa"/>
          </w:tcPr>
          <w:p w14:paraId="66CBB8F9" w14:textId="77777777" w:rsidR="00DB7F07" w:rsidRDefault="00DB7F07" w:rsidP="00DB7F07">
            <w:pPr>
              <w:jc w:val="center"/>
            </w:pPr>
          </w:p>
        </w:tc>
        <w:tc>
          <w:tcPr>
            <w:tcW w:w="3160" w:type="dxa"/>
          </w:tcPr>
          <w:p w14:paraId="30841B53" w14:textId="5E09E0FD" w:rsidR="00DB7F07" w:rsidRDefault="009F5B2A" w:rsidP="009F5B2A">
            <w:pPr>
              <w:jc w:val="both"/>
            </w:pPr>
            <w:r w:rsidRPr="009F5B2A">
              <w:t xml:space="preserve">Eksperte savā atzinumā norāda, ka: “Gruntsūdens līmeņa un virszemes ūdeņu noteces izmaiņas gan izpētes teritorijā, </w:t>
            </w:r>
            <w:r w:rsidRPr="009F5B2A">
              <w:lastRenderedPageBreak/>
              <w:t xml:space="preserve">gan tai piegulošajā platībā, veicinot apkārtnes īslaicīgu vai pastāvīgu nosusināšanu. Ņemot vērā gruntsūdens līmeņa monitoringa datus pieguļošajā teritorijā esošajā derīgo izrakteņu ieguves vietā, provizoriskā ietekme uz apkaimes teritoriju varētu veidoties līdz 1 km plašā teritorijā no darbības vietas”, savukārt Informatīvajā materiālā rakstīts, ka: “…teritorija, kur ūdens līmeņa pazeminājums būs novērojams, ir prognozējams līdz 500m ap atradnes Iecava II teritoriju. Pazemes ūdens resursu samazināšanās </w:t>
            </w:r>
            <w:proofErr w:type="spellStart"/>
            <w:r w:rsidRPr="009F5B2A">
              <w:t>Stipinu</w:t>
            </w:r>
            <w:proofErr w:type="spellEnd"/>
            <w:r w:rsidRPr="009F5B2A">
              <w:t xml:space="preserve"> ūdens horizontā būs novērojama tikai lokāli, prognozējams aptuveni 500m rādiusā ap ieguves laukumu. Šāds secinājums balstīts uz līdzšinējiem pazemes ūdens līmeņa monitoringa datiem gan atradnes “Iecava” apkārtnē, gan citās atradnēs. Ietekme uz gruntsūdens horizonta ūdens līmeni prognozējama vēl mazākā rādiusā.” Tā kā Paredzētā darbība ietver dolomīta ieguvi zem gruntsūdens līmeņa, obligāti nepieciešams sagatavot datos balstītu hidroloģijas modeli, kas atspoguļotu, cik tālu sniegsies gruntsūdens līmeņa izmaiņas. Hidroloģijas modelī jāvērtē arī pazemes ūdens līmeņa pazemināšanas ietekme kopsakarībā ar klimata pārmaiņām. Šobrīd ir atrodamas dažādas publikācijas par to, ka arvien biežāki kļūst sausuma ekstrēmi pavasara-vasaras sezonā. Tas nozīmē, ka pazemes ūdens līmeņa pazemināšana varētu šo ietekmi būtiski palielināt (abu ietekmju kombinācija), tādēļ šāda aspekta </w:t>
            </w:r>
            <w:proofErr w:type="spellStart"/>
            <w:r w:rsidRPr="009F5B2A">
              <w:t>izvērtējums</w:t>
            </w:r>
            <w:proofErr w:type="spellEnd"/>
            <w:r w:rsidRPr="009F5B2A">
              <w:t xml:space="preserve"> ir būtisks. Pārvalde lūdz INV ziņojumā ietvert </w:t>
            </w:r>
            <w:r w:rsidRPr="009F5B2A">
              <w:lastRenderedPageBreak/>
              <w:t>aprēķinus no hidroloģijas modeļa, izvērtējot depresijas piltuves ietekmi uz ES nozīmes biotopiem un īpaši aizsargājamām sugām, kas saistītas ar mitriem/slapjiem apstākļiem, kopsakarībā ar klimata pārmaiņām. Pārvaldes ieskatā Paredzētā darbība var radīt ietekmi arī uz aizsargājamām sūnu, ķērpju un sēņu sugām, kas saistītas ar mitriem augšanas apstākļiem, taču specifiska eksperta piesaiste ietekmes uz vidi novērtējumam nav nepieciešama, ja ir pieejams datos balstīts  hidroģeoloģiskais modelis.</w:t>
            </w:r>
          </w:p>
        </w:tc>
        <w:tc>
          <w:tcPr>
            <w:tcW w:w="2793" w:type="dxa"/>
          </w:tcPr>
          <w:p w14:paraId="2F53929B" w14:textId="77777777" w:rsidR="00DB7F07" w:rsidRDefault="006658C3" w:rsidP="00DB7F07">
            <w:pPr>
              <w:jc w:val="center"/>
            </w:pPr>
            <w:r>
              <w:lastRenderedPageBreak/>
              <w:t>Ņemts vērā izstrādājot IVN Ziņojumu</w:t>
            </w:r>
          </w:p>
          <w:p w14:paraId="57190416" w14:textId="7E3D0CFE" w:rsidR="006D6A7D" w:rsidRDefault="006D6A7D" w:rsidP="00DB7F07">
            <w:pPr>
              <w:jc w:val="center"/>
            </w:pPr>
            <w:r>
              <w:t xml:space="preserve">Ir veikta ietekmes uz </w:t>
            </w:r>
            <w:proofErr w:type="spellStart"/>
            <w:r>
              <w:t>Augšdevona</w:t>
            </w:r>
            <w:proofErr w:type="spellEnd"/>
            <w:r>
              <w:t xml:space="preserve"> </w:t>
            </w:r>
            <w:proofErr w:type="spellStart"/>
            <w:r>
              <w:t>Stipinu</w:t>
            </w:r>
            <w:proofErr w:type="spellEnd"/>
            <w:r>
              <w:t xml:space="preserve"> ūdens </w:t>
            </w:r>
            <w:r>
              <w:lastRenderedPageBreak/>
              <w:t>horizonta hidrodinamiskajiem apstākļiem modelēšana</w:t>
            </w:r>
          </w:p>
        </w:tc>
        <w:tc>
          <w:tcPr>
            <w:tcW w:w="2552" w:type="dxa"/>
          </w:tcPr>
          <w:p w14:paraId="75BE9E06" w14:textId="616AA1E7" w:rsidR="00DB7F07" w:rsidRDefault="006658C3" w:rsidP="00DB7F07">
            <w:pPr>
              <w:jc w:val="center"/>
            </w:pPr>
            <w:r>
              <w:lastRenderedPageBreak/>
              <w:t xml:space="preserve">Vēršam uzmanību uz to, ka Paredzētās darbības teritorija neskar virszemes ūdensobjektus. </w:t>
            </w:r>
            <w:r>
              <w:lastRenderedPageBreak/>
              <w:t xml:space="preserve">Tādēļ nav saprotama prasība izstrādāt </w:t>
            </w:r>
            <w:r w:rsidRPr="006658C3">
              <w:t>Hidroloģijas mode</w:t>
            </w:r>
            <w:r>
              <w:t xml:space="preserve">li. Plānotā karjera ūdeņu (pēc to nostādināšanas) novadīšana </w:t>
            </w:r>
            <w:proofErr w:type="spellStart"/>
            <w:r>
              <w:t>Sidrabenītes</w:t>
            </w:r>
            <w:proofErr w:type="spellEnd"/>
            <w:r>
              <w:t xml:space="preserve"> upē, kura ir valsts nozīmes ūdens noteka, meliorēta un iztaisnota, nebūtiski papildinās tās ūdens resursus (paralēli Paredzētās darbības uzsākšanai tiek uzsākta līdz šim izmantotās </w:t>
            </w:r>
            <w:r w:rsidRPr="006658C3">
              <w:t>Ieguves licences Nr. 8/307</w:t>
            </w:r>
            <w:r>
              <w:t xml:space="preserve"> teritorijā atradnē Iecava un attiecīgi no atradnes Iecava atsūknētais ūdens apjoms samazināsies. </w:t>
            </w:r>
          </w:p>
        </w:tc>
      </w:tr>
      <w:tr w:rsidR="00DB7F07" w14:paraId="29E1D570" w14:textId="77777777" w:rsidTr="00DB7F07">
        <w:tc>
          <w:tcPr>
            <w:tcW w:w="988" w:type="dxa"/>
          </w:tcPr>
          <w:p w14:paraId="0E5FC024" w14:textId="77777777" w:rsidR="00DB7F07" w:rsidRDefault="00DB7F07" w:rsidP="00DB7F07">
            <w:pPr>
              <w:jc w:val="center"/>
            </w:pPr>
          </w:p>
        </w:tc>
        <w:tc>
          <w:tcPr>
            <w:tcW w:w="3160" w:type="dxa"/>
          </w:tcPr>
          <w:p w14:paraId="0A5AEFDC" w14:textId="09C11040" w:rsidR="00DB7F07" w:rsidRDefault="009F5B2A" w:rsidP="009F5B2A">
            <w:pPr>
              <w:jc w:val="both"/>
            </w:pPr>
            <w:r w:rsidRPr="009F5B2A">
              <w:t>Tā kā Eksperte norāda, ka Paredzētās darbības teritorijā, lauksaimniecības zemēs, aug vairāki atsevišķi ozoli, kas norādīti, kā “Citas bioloģiskās vērtības”, Pārvalde aicina pievērst uzmanību iespējamajiem vēl neapzinātajiem dižkokiem , jo uz tiem attiecas normatīvo aktu prasības par dabas pieminekļu aizsardzību. Jāņem vērā, ka aizsargāta tiek arī teritorija zem koku vainagiem, kā arī teritorija 10 metru rādiusā ap tiem, skaitot no koka vainaga projekcijas. Pārvalde vērš uzmanību, ka liela daļa no dižkokiem, tai skaitā arī potenciālie dižkoki, bieži vien kalpo arī kā īpaši aizsargājamo sugu dzīvotnes, bet ne visi dižkoki ir oficiāli apzināti.</w:t>
            </w:r>
          </w:p>
        </w:tc>
        <w:tc>
          <w:tcPr>
            <w:tcW w:w="2793" w:type="dxa"/>
          </w:tcPr>
          <w:p w14:paraId="5DB08909" w14:textId="2010C71E" w:rsidR="00DB7F07" w:rsidRDefault="006658C3" w:rsidP="00DB7F07">
            <w:pPr>
              <w:jc w:val="center"/>
            </w:pPr>
            <w:r>
              <w:t>Ņemts vērā IVN Ziņojuma izstrādes laikā</w:t>
            </w:r>
            <w:r w:rsidR="00335928">
              <w:t xml:space="preserve"> veicot to apkārtmēra mērījumus</w:t>
            </w:r>
          </w:p>
        </w:tc>
        <w:tc>
          <w:tcPr>
            <w:tcW w:w="2552" w:type="dxa"/>
          </w:tcPr>
          <w:p w14:paraId="58860E5C" w14:textId="382B2446" w:rsidR="00DB7F07" w:rsidRDefault="00335928" w:rsidP="00DB7F07">
            <w:pPr>
              <w:jc w:val="center"/>
            </w:pPr>
            <w:r>
              <w:t xml:space="preserve">Teritorijā ir atsevišķi ozoli, bet tie neatbilst normatīvajos aktos definētajam dižkoka statusam </w:t>
            </w:r>
          </w:p>
        </w:tc>
      </w:tr>
      <w:tr w:rsidR="00DB7F07" w14:paraId="2C1DF0DB" w14:textId="77777777" w:rsidTr="00DB7F07">
        <w:tc>
          <w:tcPr>
            <w:tcW w:w="988" w:type="dxa"/>
          </w:tcPr>
          <w:p w14:paraId="57C5E062" w14:textId="77777777" w:rsidR="00DB7F07" w:rsidRDefault="00DB7F07" w:rsidP="00DB7F07">
            <w:pPr>
              <w:jc w:val="center"/>
            </w:pPr>
          </w:p>
        </w:tc>
        <w:tc>
          <w:tcPr>
            <w:tcW w:w="3160" w:type="dxa"/>
          </w:tcPr>
          <w:p w14:paraId="5D3E005E" w14:textId="52817138" w:rsidR="00DB7F07" w:rsidRDefault="00E5050C" w:rsidP="00E5050C">
            <w:pPr>
              <w:jc w:val="both"/>
            </w:pPr>
            <w:r w:rsidRPr="00E5050C">
              <w:t xml:space="preserve">Saskaņā ar DDPS Ozols pieejamiem datiem, Paredzētās darbības teritorijā konstatēts īpaši aizsargājams putns sila cīrulis </w:t>
            </w:r>
            <w:proofErr w:type="spellStart"/>
            <w:r w:rsidRPr="00E5050C">
              <w:t>Lullula</w:t>
            </w:r>
            <w:proofErr w:type="spellEnd"/>
            <w:r w:rsidRPr="00E5050C">
              <w:t xml:space="preserve"> </w:t>
            </w:r>
            <w:proofErr w:type="spellStart"/>
            <w:r w:rsidRPr="00E5050C">
              <w:t>arborea</w:t>
            </w:r>
            <w:proofErr w:type="spellEnd"/>
            <w:r w:rsidRPr="00E5050C">
              <w:t xml:space="preserve">, kurš iespējams ligzdo šajā teritorijā. Pēc Valsts meža reģistra datiem un jaunākām </w:t>
            </w:r>
            <w:proofErr w:type="spellStart"/>
            <w:r w:rsidRPr="00E5050C">
              <w:t>ortofoto</w:t>
            </w:r>
            <w:proofErr w:type="spellEnd"/>
            <w:r w:rsidRPr="00E5050C">
              <w:t xml:space="preserve"> kartēm redzams, ka Paredzētās darbības teritorijā lielā apmērā veiktas kailcirtes, līdz ar to teritorija savu </w:t>
            </w:r>
            <w:r w:rsidRPr="00E5050C">
              <w:lastRenderedPageBreak/>
              <w:t xml:space="preserve">nozīmi attiecībā uz meža putnu sugām ir zaudējusi. Tai pat laikā apmēram 562 m attālumā no Paredzētās darbības teritorijas atrodas apodziņa </w:t>
            </w:r>
            <w:proofErr w:type="spellStart"/>
            <w:r w:rsidRPr="00E5050C">
              <w:t>Glaucidium</w:t>
            </w:r>
            <w:proofErr w:type="spellEnd"/>
            <w:r w:rsidRPr="00E5050C">
              <w:t xml:space="preserve"> </w:t>
            </w:r>
            <w:proofErr w:type="spellStart"/>
            <w:r w:rsidRPr="00E5050C">
              <w:t>passerinum</w:t>
            </w:r>
            <w:proofErr w:type="spellEnd"/>
            <w:r w:rsidRPr="00E5050C">
              <w:t xml:space="preserve"> aizsardzībai noteiktas prioritārās teritorijas, līdz ar to iespējama trokšņa ietekme uz </w:t>
            </w:r>
            <w:proofErr w:type="spellStart"/>
            <w:r w:rsidRPr="00E5050C">
              <w:t>pūčveidīgajiem</w:t>
            </w:r>
            <w:proofErr w:type="spellEnd"/>
            <w:r w:rsidRPr="00E5050C">
              <w:t xml:space="preserve"> putniem  Paredzētās darbības apkārtnē. Lai gan apkārtnes putnu sugas visticamāk ir pielāgojušās troksnim, ko rada esošā karjera darbība, kā arī sila cīrulim apkārtnē ir iespējamas citas piemērotas ligzdošanas teritorijas, tomēr lūdzam ietekmes uz vidi </w:t>
            </w:r>
            <w:proofErr w:type="spellStart"/>
            <w:r w:rsidRPr="00E5050C">
              <w:t>izvērtējumā</w:t>
            </w:r>
            <w:proofErr w:type="spellEnd"/>
            <w:r w:rsidRPr="00E5050C">
              <w:t xml:space="preserve"> paredzēt ietekmi mazinošus pasākumus attiecībā uz putnu sugām saistībā ar atmežošanas darbībām un trokšņa samazināšanu. Iesakām konsultēties ar sertificētu sugu un biotopu ekspertu par sugu grupu putni par ietekmi mazinošajiem pasākumiem.</w:t>
            </w:r>
          </w:p>
        </w:tc>
        <w:tc>
          <w:tcPr>
            <w:tcW w:w="2793" w:type="dxa"/>
          </w:tcPr>
          <w:p w14:paraId="2EA0FE26" w14:textId="1E459A48" w:rsidR="00DB7F07" w:rsidRDefault="001B1CCD" w:rsidP="00DB7F07">
            <w:pPr>
              <w:jc w:val="center"/>
            </w:pPr>
            <w:r>
              <w:lastRenderedPageBreak/>
              <w:t xml:space="preserve">Ņemts vērā IVN Ziņojuma izstrādes laikā </w:t>
            </w:r>
            <w:proofErr w:type="spellStart"/>
            <w:r>
              <w:t>apsekojumus</w:t>
            </w:r>
            <w:proofErr w:type="spellEnd"/>
            <w:r>
              <w:t xml:space="preserve"> veicis un atzinumu sniedzis sertificēts eksperts – ornitologs.</w:t>
            </w:r>
          </w:p>
        </w:tc>
        <w:tc>
          <w:tcPr>
            <w:tcW w:w="2552" w:type="dxa"/>
          </w:tcPr>
          <w:p w14:paraId="7142D623" w14:textId="77777777" w:rsidR="00DB7F07" w:rsidRDefault="00DB7F07" w:rsidP="00DB7F07">
            <w:pPr>
              <w:jc w:val="center"/>
            </w:pPr>
          </w:p>
        </w:tc>
      </w:tr>
      <w:tr w:rsidR="00DB7F07" w14:paraId="5287495D" w14:textId="77777777" w:rsidTr="00DB7F07">
        <w:tc>
          <w:tcPr>
            <w:tcW w:w="988" w:type="dxa"/>
          </w:tcPr>
          <w:p w14:paraId="13ADCA04" w14:textId="77777777" w:rsidR="00DB7F07" w:rsidRDefault="00DB7F07" w:rsidP="00DB7F07">
            <w:pPr>
              <w:jc w:val="center"/>
            </w:pPr>
          </w:p>
        </w:tc>
        <w:tc>
          <w:tcPr>
            <w:tcW w:w="3160" w:type="dxa"/>
          </w:tcPr>
          <w:p w14:paraId="0D2BC7BC" w14:textId="44265C3B" w:rsidR="00DB7F07" w:rsidRDefault="00E5050C" w:rsidP="00E5050C">
            <w:pPr>
              <w:jc w:val="both"/>
            </w:pPr>
            <w:r w:rsidRPr="00E5050C">
              <w:t xml:space="preserve">Balstoties uz Ekspertes atzinumu, plānojot Paredzētās darbības infrastruktūru, lūdzam ņemt vērā </w:t>
            </w:r>
            <w:proofErr w:type="spellStart"/>
            <w:r w:rsidRPr="00E5050C">
              <w:t>invazīvo</w:t>
            </w:r>
            <w:proofErr w:type="spellEnd"/>
            <w:r w:rsidRPr="00E5050C">
              <w:t xml:space="preserve"> sugu izplatību un arī šai problemātikai pievērst uzmanību (kur nepieciešams), IVN ziņojumā piedāvājot tādus tehnoloģiskos risinājumus, kas neveicina </w:t>
            </w:r>
            <w:proofErr w:type="spellStart"/>
            <w:r w:rsidRPr="00E5050C">
              <w:t>invazīvo</w:t>
            </w:r>
            <w:proofErr w:type="spellEnd"/>
            <w:r w:rsidRPr="00E5050C">
              <w:t xml:space="preserve"> sugu tālāku izplatību.</w:t>
            </w:r>
          </w:p>
        </w:tc>
        <w:tc>
          <w:tcPr>
            <w:tcW w:w="2793" w:type="dxa"/>
          </w:tcPr>
          <w:p w14:paraId="639A2753" w14:textId="3DF83076" w:rsidR="00DB7F07" w:rsidRDefault="001B1CCD" w:rsidP="00DB7F07">
            <w:pPr>
              <w:jc w:val="center"/>
            </w:pPr>
            <w:r>
              <w:t xml:space="preserve">Ņemts vērā </w:t>
            </w:r>
            <w:r w:rsidR="00E22498">
              <w:t>izstrādājot IVN Ziņojumu</w:t>
            </w:r>
          </w:p>
        </w:tc>
        <w:tc>
          <w:tcPr>
            <w:tcW w:w="2552" w:type="dxa"/>
          </w:tcPr>
          <w:p w14:paraId="23B1DE2A" w14:textId="77777777" w:rsidR="00DB7F07" w:rsidRDefault="00E22498" w:rsidP="00DB7F07">
            <w:pPr>
              <w:jc w:val="center"/>
            </w:pPr>
            <w:r>
              <w:t xml:space="preserve">Ekspertes </w:t>
            </w:r>
            <w:proofErr w:type="spellStart"/>
            <w:r>
              <w:t>apsekojumā</w:t>
            </w:r>
            <w:proofErr w:type="spellEnd"/>
            <w:r>
              <w:t xml:space="preserve"> nav konstatēta </w:t>
            </w:r>
            <w:proofErr w:type="spellStart"/>
            <w:r>
              <w:t>invazīvo</w:t>
            </w:r>
            <w:proofErr w:type="spellEnd"/>
            <w:r>
              <w:t xml:space="preserve"> sugu izplatība</w:t>
            </w:r>
          </w:p>
          <w:p w14:paraId="2BE3858D" w14:textId="0FDBAFD4" w:rsidR="00E22498" w:rsidRDefault="00E22498" w:rsidP="00DB7F07">
            <w:pPr>
              <w:jc w:val="center"/>
            </w:pPr>
            <w:r>
              <w:t xml:space="preserve">Paredzētās darbības gaitā netiks pieļauta ar </w:t>
            </w:r>
            <w:proofErr w:type="spellStart"/>
            <w:r>
              <w:t>invazīvām</w:t>
            </w:r>
            <w:proofErr w:type="spellEnd"/>
            <w:r>
              <w:t xml:space="preserve"> sugām </w:t>
            </w:r>
            <w:proofErr w:type="spellStart"/>
            <w:r>
              <w:t>invadētas</w:t>
            </w:r>
            <w:proofErr w:type="spellEnd"/>
            <w:r>
              <w:t xml:space="preserve"> augsnes izvešana no paredzētās darbības teritorijas. Ja </w:t>
            </w:r>
            <w:proofErr w:type="spellStart"/>
            <w:r>
              <w:t>invazīvās</w:t>
            </w:r>
            <w:proofErr w:type="spellEnd"/>
            <w:r>
              <w:t xml:space="preserve"> sugas tiks konstatētas augsnes vaļņos gar karjera perimetru, tiks veikti atbilstoši to likvidācijas pasākumi.</w:t>
            </w:r>
          </w:p>
        </w:tc>
      </w:tr>
      <w:tr w:rsidR="00DB7F07" w14:paraId="34F7B730" w14:textId="77777777" w:rsidTr="00DB7F07">
        <w:tc>
          <w:tcPr>
            <w:tcW w:w="988" w:type="dxa"/>
          </w:tcPr>
          <w:p w14:paraId="2B165824" w14:textId="77777777" w:rsidR="00DB7F07" w:rsidRDefault="00DB7F07" w:rsidP="00DB7F07">
            <w:pPr>
              <w:jc w:val="center"/>
            </w:pPr>
          </w:p>
        </w:tc>
        <w:tc>
          <w:tcPr>
            <w:tcW w:w="3160" w:type="dxa"/>
          </w:tcPr>
          <w:p w14:paraId="57AFAF15" w14:textId="1B1436E4" w:rsidR="00E5050C" w:rsidRDefault="00E5050C" w:rsidP="001B1CCD">
            <w:pPr>
              <w:jc w:val="both"/>
            </w:pPr>
            <w:r>
              <w:t xml:space="preserve">Informatīvajā materiālā norādīts, ka “Atradnes “Iecava II” tuvumā tiek veikta derīgo izrakteņu ieguve atradnē “Iecava”, ko veic SIA “DSG Karjeri” un VAS “Latvijas autoceļu uzturētājs”. SIA “DSG Karjeri” derīgo izrakteņu ieguvi veic 23.170 ha platībā (Ieguves licences Nr.8/307)[…] Plānots, ka </w:t>
            </w:r>
            <w:r>
              <w:lastRenderedPageBreak/>
              <w:t>līdz atradnes “Iecava II” atvēršanai SIA “DSG Karjeri” būs pabeigusi ieguves darbus atradnē “Iecava.”</w:t>
            </w:r>
          </w:p>
          <w:p w14:paraId="13403160" w14:textId="09DCAEDF" w:rsidR="00DB7F07" w:rsidRDefault="00E5050C" w:rsidP="00E5050C">
            <w:pPr>
              <w:jc w:val="both"/>
            </w:pPr>
            <w:r>
              <w:t>Pārvalde aicina paredzēt, ka iepriekšējās atradnes rekultivācija tiek veikta paralēli jaunās atradnes izstrādei, tādējādi kompensējot videi un dabai radīto ietekmi.</w:t>
            </w:r>
          </w:p>
        </w:tc>
        <w:tc>
          <w:tcPr>
            <w:tcW w:w="2793" w:type="dxa"/>
          </w:tcPr>
          <w:p w14:paraId="20B2F09E" w14:textId="4A160D63" w:rsidR="00DB7F07" w:rsidRDefault="001B1CCD" w:rsidP="00DB7F07">
            <w:pPr>
              <w:jc w:val="center"/>
            </w:pPr>
            <w:r>
              <w:lastRenderedPageBreak/>
              <w:t>Ņemts vērā veicot ietekmes uz vidi novērtējumu</w:t>
            </w:r>
          </w:p>
        </w:tc>
        <w:tc>
          <w:tcPr>
            <w:tcW w:w="2552" w:type="dxa"/>
          </w:tcPr>
          <w:p w14:paraId="0BC58E7B" w14:textId="77777777" w:rsidR="00DB7F07" w:rsidRDefault="00DB7F07" w:rsidP="00DB7F07">
            <w:pPr>
              <w:jc w:val="center"/>
            </w:pPr>
          </w:p>
        </w:tc>
      </w:tr>
      <w:tr w:rsidR="00DB7F07" w14:paraId="399C2954" w14:textId="77777777" w:rsidTr="00DB7F07">
        <w:tc>
          <w:tcPr>
            <w:tcW w:w="988" w:type="dxa"/>
          </w:tcPr>
          <w:p w14:paraId="1E3B7040" w14:textId="77777777" w:rsidR="00DB7F07" w:rsidRDefault="00DB7F07" w:rsidP="00DB7F07">
            <w:pPr>
              <w:jc w:val="center"/>
            </w:pPr>
          </w:p>
        </w:tc>
        <w:tc>
          <w:tcPr>
            <w:tcW w:w="3160" w:type="dxa"/>
          </w:tcPr>
          <w:p w14:paraId="694E097C" w14:textId="77777777" w:rsidR="00DB7F07" w:rsidRDefault="00DB7F07" w:rsidP="00DB7F07">
            <w:pPr>
              <w:jc w:val="center"/>
            </w:pPr>
          </w:p>
        </w:tc>
        <w:tc>
          <w:tcPr>
            <w:tcW w:w="2793" w:type="dxa"/>
          </w:tcPr>
          <w:p w14:paraId="71CEC9C3" w14:textId="77777777" w:rsidR="00DB7F07" w:rsidRDefault="00DB7F07" w:rsidP="00DB7F07">
            <w:pPr>
              <w:jc w:val="center"/>
            </w:pPr>
          </w:p>
        </w:tc>
        <w:tc>
          <w:tcPr>
            <w:tcW w:w="2552" w:type="dxa"/>
          </w:tcPr>
          <w:p w14:paraId="251F3760" w14:textId="77777777" w:rsidR="00DB7F07" w:rsidRDefault="00DB7F07" w:rsidP="00DB7F07">
            <w:pPr>
              <w:jc w:val="center"/>
            </w:pPr>
          </w:p>
        </w:tc>
      </w:tr>
    </w:tbl>
    <w:p w14:paraId="4B0C72A6" w14:textId="77777777" w:rsidR="00DB7F07" w:rsidRDefault="00DB7F07" w:rsidP="00DB7F07">
      <w:pPr>
        <w:jc w:val="center"/>
      </w:pPr>
    </w:p>
    <w:p w14:paraId="4FF96D1B" w14:textId="77777777" w:rsidR="00DB7F07" w:rsidRDefault="00DB7F07"/>
    <w:sectPr w:rsidR="00DB7F0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F07"/>
    <w:rsid w:val="00187351"/>
    <w:rsid w:val="001B1CCD"/>
    <w:rsid w:val="002A3B6D"/>
    <w:rsid w:val="002F1915"/>
    <w:rsid w:val="00335928"/>
    <w:rsid w:val="0044152F"/>
    <w:rsid w:val="004D3BC8"/>
    <w:rsid w:val="005002FD"/>
    <w:rsid w:val="006658C3"/>
    <w:rsid w:val="006B58D6"/>
    <w:rsid w:val="006D6A7D"/>
    <w:rsid w:val="009F5B2A"/>
    <w:rsid w:val="00A507F9"/>
    <w:rsid w:val="00C13A5E"/>
    <w:rsid w:val="00CC394E"/>
    <w:rsid w:val="00DB7F07"/>
    <w:rsid w:val="00E22498"/>
    <w:rsid w:val="00E5050C"/>
    <w:rsid w:val="00EF02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BD254"/>
  <w15:chartTrackingRefBased/>
  <w15:docId w15:val="{BC3B3842-1972-4249-94BB-6AEBCD1B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7F0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B7F0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B7F0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B7F0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B7F0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B7F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7F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7F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7F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F0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B7F0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B7F0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B7F0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B7F0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B7F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7F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7F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7F07"/>
    <w:rPr>
      <w:rFonts w:eastAsiaTheme="majorEastAsia" w:cstheme="majorBidi"/>
      <w:color w:val="272727" w:themeColor="text1" w:themeTint="D8"/>
    </w:rPr>
  </w:style>
  <w:style w:type="paragraph" w:styleId="Title">
    <w:name w:val="Title"/>
    <w:basedOn w:val="Normal"/>
    <w:next w:val="Normal"/>
    <w:link w:val="TitleChar"/>
    <w:uiPriority w:val="10"/>
    <w:qFormat/>
    <w:rsid w:val="00DB7F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7F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7F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7F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7F07"/>
    <w:pPr>
      <w:spacing w:before="160"/>
      <w:jc w:val="center"/>
    </w:pPr>
    <w:rPr>
      <w:i/>
      <w:iCs/>
      <w:color w:val="404040" w:themeColor="text1" w:themeTint="BF"/>
    </w:rPr>
  </w:style>
  <w:style w:type="character" w:customStyle="1" w:styleId="QuoteChar">
    <w:name w:val="Quote Char"/>
    <w:basedOn w:val="DefaultParagraphFont"/>
    <w:link w:val="Quote"/>
    <w:uiPriority w:val="29"/>
    <w:rsid w:val="00DB7F07"/>
    <w:rPr>
      <w:i/>
      <w:iCs/>
      <w:color w:val="404040" w:themeColor="text1" w:themeTint="BF"/>
    </w:rPr>
  </w:style>
  <w:style w:type="paragraph" w:styleId="ListParagraph">
    <w:name w:val="List Paragraph"/>
    <w:basedOn w:val="Normal"/>
    <w:uiPriority w:val="34"/>
    <w:qFormat/>
    <w:rsid w:val="00DB7F07"/>
    <w:pPr>
      <w:ind w:left="720"/>
      <w:contextualSpacing/>
    </w:pPr>
  </w:style>
  <w:style w:type="character" w:styleId="IntenseEmphasis">
    <w:name w:val="Intense Emphasis"/>
    <w:basedOn w:val="DefaultParagraphFont"/>
    <w:uiPriority w:val="21"/>
    <w:qFormat/>
    <w:rsid w:val="00DB7F07"/>
    <w:rPr>
      <w:i/>
      <w:iCs/>
      <w:color w:val="2F5496" w:themeColor="accent1" w:themeShade="BF"/>
    </w:rPr>
  </w:style>
  <w:style w:type="paragraph" w:styleId="IntenseQuote">
    <w:name w:val="Intense Quote"/>
    <w:basedOn w:val="Normal"/>
    <w:next w:val="Normal"/>
    <w:link w:val="IntenseQuoteChar"/>
    <w:uiPriority w:val="30"/>
    <w:qFormat/>
    <w:rsid w:val="00DB7F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B7F07"/>
    <w:rPr>
      <w:i/>
      <w:iCs/>
      <w:color w:val="2F5496" w:themeColor="accent1" w:themeShade="BF"/>
    </w:rPr>
  </w:style>
  <w:style w:type="character" w:styleId="IntenseReference">
    <w:name w:val="Intense Reference"/>
    <w:basedOn w:val="DefaultParagraphFont"/>
    <w:uiPriority w:val="32"/>
    <w:qFormat/>
    <w:rsid w:val="00DB7F07"/>
    <w:rPr>
      <w:b/>
      <w:bCs/>
      <w:smallCaps/>
      <w:color w:val="2F5496" w:themeColor="accent1" w:themeShade="BF"/>
      <w:spacing w:val="5"/>
    </w:rPr>
  </w:style>
  <w:style w:type="table" w:styleId="TableGrid">
    <w:name w:val="Table Grid"/>
    <w:basedOn w:val="TableNormal"/>
    <w:uiPriority w:val="39"/>
    <w:rsid w:val="00DB7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8623</Words>
  <Characters>4916</Characters>
  <Application>Microsoft Office Word</Application>
  <DocSecurity>0</DocSecurity>
  <Lines>40</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Gavena</dc:creator>
  <cp:keywords/>
  <dc:description/>
  <cp:lastModifiedBy>Inga Gavena</cp:lastModifiedBy>
  <cp:revision>2</cp:revision>
  <dcterms:created xsi:type="dcterms:W3CDTF">2025-08-11T07:38:00Z</dcterms:created>
  <dcterms:modified xsi:type="dcterms:W3CDTF">2025-08-11T07:38:00Z</dcterms:modified>
</cp:coreProperties>
</file>